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2" w14:textId="055BE750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C2F5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6A8FFA" w14:textId="047570E7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>„</w:t>
      </w:r>
      <w:r w:rsidR="00102279" w:rsidRPr="00102279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p w14:paraId="014ECB39" w14:textId="0DAE152D" w:rsidR="00C77026" w:rsidRPr="009618D3" w:rsidRDefault="00AD3797" w:rsidP="001C2F5E">
      <w:pPr>
        <w:spacing w:before="120"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BB7F916" w14:textId="054A5C12" w:rsidR="001C2F5E" w:rsidRDefault="00C77026" w:rsidP="001C2F5E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3BDB9CDB" w14:textId="77777777" w:rsidR="001C2F5E" w:rsidRPr="003E7D79" w:rsidRDefault="001C2F5E" w:rsidP="001C2F5E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6"/>
          <w:szCs w:val="16"/>
        </w:rPr>
      </w:pPr>
      <w:r w:rsidRPr="003E7D79">
        <w:rPr>
          <w:rFonts w:ascii="Verdana" w:hAnsi="Verdana"/>
          <w:sz w:val="16"/>
          <w:szCs w:val="16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014ECB3D" w14:textId="5C9ED547" w:rsidR="000627AF" w:rsidRPr="001C2F5E" w:rsidRDefault="001C2F5E" w:rsidP="001C2F5E">
      <w:pPr>
        <w:jc w:val="both"/>
        <w:rPr>
          <w:rFonts w:ascii="Verdana" w:hAnsi="Verdana"/>
          <w:sz w:val="16"/>
          <w:szCs w:val="16"/>
          <w:highlight w:val="yellow"/>
        </w:rPr>
      </w:pPr>
      <w:r w:rsidRPr="003E7D79">
        <w:rPr>
          <w:rFonts w:ascii="Verdana" w:hAnsi="Verdana"/>
          <w:sz w:val="16"/>
          <w:szCs w:val="16"/>
          <w:highlight w:val="yellow"/>
        </w:rPr>
        <w:t>Doplní účastník</w:t>
      </w:r>
      <w:r w:rsidRPr="003E7D79">
        <w:rPr>
          <w:rStyle w:val="Znakapoznpodarou"/>
          <w:rFonts w:ascii="Verdana" w:hAnsi="Verdana"/>
          <w:sz w:val="16"/>
          <w:szCs w:val="16"/>
          <w:highlight w:val="yellow"/>
        </w:rPr>
        <w:footnoteReference w:id="2"/>
      </w:r>
    </w:p>
    <w:sectPr w:rsidR="000627AF" w:rsidRPr="001C2F5E" w:rsidSect="001C2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C87E2F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22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2279" w:rsidRPr="001022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31C5A44E" w14:textId="6BB2065A" w:rsidR="001C2F5E" w:rsidRPr="00456672" w:rsidRDefault="001C2F5E" w:rsidP="001C2F5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color w:val="FF0000"/>
          <w:sz w:val="14"/>
          <w:szCs w:val="14"/>
        </w:rPr>
        <w:footnoteRef/>
      </w:r>
      <w:r w:rsidRPr="003E7D79">
        <w:rPr>
          <w:rFonts w:ascii="Verdana" w:hAnsi="Verdana"/>
          <w:color w:val="FF0000"/>
          <w:sz w:val="14"/>
          <w:szCs w:val="14"/>
        </w:rPr>
        <w:t xml:space="preserve">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čl. 21.2 a 21.3 </w:t>
      </w:r>
      <w:r w:rsidR="00456672" w:rsidRPr="00D169B7">
        <w:rPr>
          <w:rFonts w:ascii="Verdana" w:hAnsi="Verdana"/>
          <w:b/>
          <w:color w:val="FF0000"/>
          <w:sz w:val="14"/>
          <w:szCs w:val="14"/>
          <w:highlight w:val="lightGray"/>
        </w:rPr>
        <w:t>P</w:t>
      </w:r>
      <w:r w:rsidR="00456672"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>okynů pro dodavatele</w:t>
      </w:r>
      <w:r w:rsidRPr="00456672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14:paraId="45E88A29" w14:textId="77777777" w:rsidR="001C2F5E" w:rsidRPr="0017634C" w:rsidRDefault="001C2F5E" w:rsidP="001C2F5E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b/>
          <w:sz w:val="14"/>
          <w:szCs w:val="14"/>
        </w:rPr>
        <w:t>Dodavatel jednoznačným způsobem uvede, které informace či skutečnosti uvedené v Rámcové dohodě či jejích přílohách považuje za obchodní tajemství nebo jiné informace, které nemohou být v registru smluv uveřejněny</w:t>
      </w:r>
      <w:r w:rsidRPr="003E7D79">
        <w:rPr>
          <w:rFonts w:ascii="Verdana" w:hAnsi="Verdana"/>
          <w:sz w:val="14"/>
          <w:szCs w:val="14"/>
        </w:rPr>
        <w:t xml:space="preserve"> (např. vypíše slovně, nebo odkazem na příslušný článek v Rámcové dohodě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02279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149C0-D517-4E85-9881-DC27A00EF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2024-02-06T10:31:00Z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